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Default="009D3B04" w:rsidP="00FE7FF8">
      <w:pPr>
        <w:pStyle w:val="Ttulo1"/>
        <w:rPr>
          <w:noProof/>
          <w:lang w:eastAsia="es-AR"/>
        </w:rPr>
      </w:pPr>
      <w:bookmarkStart w:id="0" w:name="_GoBack"/>
      <w:bookmarkEnd w:id="0"/>
      <w:r>
        <w:rPr>
          <w:noProof/>
          <w:lang w:eastAsia="es-AR"/>
        </w:rPr>
        <w:t>UNIDAD DE DESARROLLO CURRICULAR Y FORMACIÓN DOCENTE</w:t>
      </w:r>
    </w:p>
    <w:p w:rsidR="009D3B04" w:rsidRDefault="009D3B04" w:rsidP="009D3B04">
      <w:pPr>
        <w:jc w:val="center"/>
        <w:rPr>
          <w:rFonts w:ascii="Arial" w:hAnsi="Arial" w:cs="Arial"/>
          <w:b/>
          <w:noProof/>
          <w:color w:val="0F243E" w:themeColor="text2" w:themeShade="80"/>
          <w:sz w:val="28"/>
          <w:szCs w:val="28"/>
          <w:lang w:eastAsia="es-AR"/>
        </w:rPr>
      </w:pPr>
    </w:p>
    <w:p w:rsidR="009D3B04" w:rsidRPr="00B3659A" w:rsidRDefault="009D3B04" w:rsidP="009D3B04">
      <w:pPr>
        <w:jc w:val="center"/>
        <w:rPr>
          <w:rFonts w:ascii="Arial" w:hAnsi="Arial" w:cs="Arial"/>
          <w:b/>
          <w:noProof/>
          <w:color w:val="244061" w:themeColor="accent1" w:themeShade="80"/>
          <w:sz w:val="28"/>
          <w:szCs w:val="28"/>
          <w:lang w:eastAsia="es-AR"/>
        </w:rPr>
      </w:pPr>
      <w:r w:rsidRPr="00B3659A">
        <w:rPr>
          <w:rFonts w:ascii="Arial" w:hAnsi="Arial" w:cs="Arial"/>
          <w:b/>
          <w:noProof/>
          <w:color w:val="244061" w:themeColor="accent1" w:themeShade="80"/>
          <w:sz w:val="28"/>
          <w:szCs w:val="28"/>
          <w:lang w:eastAsia="es-AR"/>
        </w:rPr>
        <w:t>PLAN DE ASIGNATURA</w:t>
      </w:r>
    </w:p>
    <w:p w:rsidR="009D3B04" w:rsidRPr="0086312B" w:rsidRDefault="009D3B04" w:rsidP="009D3B04">
      <w:pPr>
        <w:rPr>
          <w:rFonts w:ascii="Arial" w:hAnsi="Arial" w:cs="Arial"/>
          <w:b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4"/>
        <w:gridCol w:w="1246"/>
        <w:gridCol w:w="1466"/>
        <w:gridCol w:w="280"/>
        <w:gridCol w:w="806"/>
        <w:gridCol w:w="2252"/>
      </w:tblGrid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BF272F">
              <w:rPr>
                <w:rFonts w:ascii="Arial" w:hAnsi="Arial" w:cs="Arial"/>
                <w:b/>
                <w:color w:val="0F243E" w:themeColor="text2" w:themeShade="80"/>
              </w:rPr>
              <w:t xml:space="preserve"> DERECHO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:rsidR="009D3B04" w:rsidRPr="002D3F0D" w:rsidRDefault="00BF272F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BASICO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 xml:space="preserve"> DERECHO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 xml:space="preserve">: </w:t>
            </w:r>
          </w:p>
          <w:p w:rsidR="00BF272F" w:rsidRDefault="00BF272F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BF272F" w:rsidRPr="002D3F0D" w:rsidRDefault="00BF272F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PENAL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272F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 xml:space="preserve">: </w:t>
            </w:r>
          </w:p>
          <w:p w:rsidR="00BF272F" w:rsidRDefault="00BF272F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C53FE2" w:rsidRDefault="00BF272F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VIII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  <w:tr w:rsidR="009D3B04" w:rsidRPr="0086312B" w:rsidTr="00CC21F3">
        <w:tc>
          <w:tcPr>
            <w:tcW w:w="9606" w:type="dxa"/>
            <w:gridSpan w:val="7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ASIGNATURA/MÓDULO/SEMINARIO:  </w:t>
            </w:r>
            <w:r w:rsidR="00BF272F">
              <w:rPr>
                <w:rFonts w:ascii="Arial" w:hAnsi="Arial" w:cs="Arial"/>
                <w:b/>
                <w:color w:val="0F243E" w:themeColor="text2" w:themeShade="80"/>
              </w:rPr>
              <w:t>PENAL ESPECIAL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2D3F0D" w:rsidRDefault="009D3B04" w:rsidP="00BF272F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BF272F">
              <w:rPr>
                <w:rFonts w:ascii="Arial" w:hAnsi="Arial" w:cs="Arial"/>
                <w:color w:val="0F243E" w:themeColor="text2" w:themeShade="80"/>
              </w:rPr>
              <w:sym w:font="Wingdings" w:char="F078"/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D3B04" w:rsidRPr="0086312B" w:rsidTr="00CC21F3">
        <w:tc>
          <w:tcPr>
            <w:tcW w:w="5495" w:type="dxa"/>
            <w:gridSpan w:val="2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</w:p>
        </w:tc>
      </w:tr>
      <w:tr w:rsidR="009D3B04" w:rsidRPr="0086312B" w:rsidTr="00CC21F3">
        <w:tc>
          <w:tcPr>
            <w:tcW w:w="4503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BF272F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Julio 2015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BF272F" w:rsidRDefault="00BF272F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Julio 2015</w:t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6"/>
        <w:gridCol w:w="2658"/>
        <w:gridCol w:w="3580"/>
      </w:tblGrid>
      <w:tr w:rsidR="009D3B04" w:rsidRPr="0086312B" w:rsidTr="00CC21F3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 xml:space="preserve"> 5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 xml:space="preserve"> 60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>50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H. Tutoría: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 xml:space="preserve"> 10</w:t>
            </w: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 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>240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2677"/>
        <w:gridCol w:w="394"/>
        <w:gridCol w:w="3089"/>
      </w:tblGrid>
      <w:tr w:rsidR="009D3B04" w:rsidTr="00CC21F3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CC21F3">
        <w:tc>
          <w:tcPr>
            <w:tcW w:w="3060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 xml:space="preserve"> 5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 xml:space="preserve"> 20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 xml:space="preserve"> 60</w:t>
            </w:r>
          </w:p>
        </w:tc>
      </w:tr>
      <w:tr w:rsidR="009D3B04" w:rsidTr="00CC21F3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Total de Tiempo de Trabajo Académico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N° de Semanas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 xml:space="preserve"> 16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58"/>
        <w:gridCol w:w="3462"/>
        <w:gridCol w:w="4234"/>
      </w:tblGrid>
      <w:tr w:rsidR="009D3B04" w:rsidTr="00CC21F3">
        <w:tc>
          <w:tcPr>
            <w:tcW w:w="1384" w:type="dxa"/>
            <w:tcBorders>
              <w:righ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Default="009D3B04" w:rsidP="00BF272F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</w:t>
            </w:r>
            <w:r w:rsidR="00BF272F">
              <w:rPr>
                <w:rFonts w:ascii="Arial" w:hAnsi="Arial" w:cs="Arial"/>
                <w:color w:val="0F243E" w:themeColor="text2" w:themeShade="80"/>
              </w:rPr>
              <w:sym w:font="Wingdings" w:char="F078"/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Nocturna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618E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9D3B04" w:rsidTr="009D3B04">
        <w:tc>
          <w:tcPr>
            <w:tcW w:w="9054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551EAB" w:rsidP="00551EAB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551EAB">
              <w:rPr>
                <w:rFonts w:ascii="Arial" w:hAnsi="Arial" w:cs="Arial"/>
                <w:color w:val="0F243E" w:themeColor="text2" w:themeShade="80"/>
              </w:rPr>
              <w:t xml:space="preserve">Se trata del estudio de las conductas punibles descritas en el Libro II del Código Penal colombiano, 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y su relación con los </w:t>
            </w:r>
            <w:r w:rsidRPr="00551EAB">
              <w:rPr>
                <w:rFonts w:ascii="Arial" w:hAnsi="Arial" w:cs="Arial"/>
                <w:color w:val="0F243E" w:themeColor="text2" w:themeShade="80"/>
              </w:rPr>
              <w:t>bienes jurídicos protegidos por el Estado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, </w:t>
            </w:r>
            <w:r w:rsidRPr="00551EAB">
              <w:rPr>
                <w:rFonts w:ascii="Arial" w:hAnsi="Arial" w:cs="Arial"/>
                <w:color w:val="0F243E" w:themeColor="text2" w:themeShade="80"/>
              </w:rPr>
              <w:t xml:space="preserve"> cuya 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lesión posibilita </w:t>
            </w:r>
            <w:r w:rsidRPr="00551EAB">
              <w:rPr>
                <w:rFonts w:ascii="Arial" w:hAnsi="Arial" w:cs="Arial"/>
                <w:color w:val="0F243E" w:themeColor="text2" w:themeShade="80"/>
              </w:rPr>
              <w:t>la imposición de sanciones.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551EAB" w:rsidP="00551EAB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Reconocer los tipos penales correspondientes al libro II del Código Penal, y su estructura, así como los mecanismos de ampliación del tipo penal.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551EAB" w:rsidP="00551EAB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Reconocer los tipos penales del código penal, y comprenderlos dentro de la finalidad de protección del bien jurídico tutelado.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551EAB" w:rsidP="00551EAB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De diversas situaciones fácticas delictivas el estudiante debe extraer los contenidos típicos que corresponde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551EAB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Competencias básicas: </w:t>
            </w:r>
            <w:r w:rsidR="00551EAB" w:rsidRPr="00551EAB">
              <w:rPr>
                <w:rFonts w:ascii="Arial" w:hAnsi="Arial" w:cs="Arial"/>
                <w:color w:val="0F243E" w:themeColor="text2" w:themeShade="80"/>
              </w:rPr>
              <w:t>Reconocer en las conductas humanas los tipos penales definidos por la ley colombiana, sus elementos estructurales y sus consecuencias punitivas y de orden civil.</w:t>
            </w:r>
          </w:p>
          <w:p w:rsidR="009D3B04" w:rsidRPr="00EA3F72" w:rsidRDefault="009D3B04" w:rsidP="00CC21F3">
            <w:pPr>
              <w:jc w:val="both"/>
              <w:rPr>
                <w:rFonts w:ascii="Arial" w:hAnsi="Arial" w:cs="Arial"/>
                <w:b/>
                <w:color w:val="0F243E" w:themeColor="text2" w:themeShade="80"/>
                <w:sz w:val="28"/>
              </w:rPr>
            </w:pP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C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ompetencias</w:t>
            </w: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específicas: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</w:t>
            </w:r>
            <w:r w:rsidR="00551EAB" w:rsidRPr="00551EAB">
              <w:rPr>
                <w:rFonts w:ascii="Arial" w:hAnsi="Arial" w:cs="Arial"/>
                <w:color w:val="0F243E" w:themeColor="text2" w:themeShade="80"/>
              </w:rPr>
              <w:t>Estudiar los tipos penales de cada bien jurídico.</w:t>
            </w:r>
            <w:r w:rsidR="00551EAB">
              <w:rPr>
                <w:rFonts w:ascii="Verdana" w:hAnsi="Verdana"/>
                <w:color w:val="000000"/>
                <w:sz w:val="17"/>
                <w:szCs w:val="17"/>
                <w:shd w:val="clear" w:color="auto" w:fill="FFFFFF"/>
              </w:rPr>
              <w:t xml:space="preserve"> </w:t>
            </w:r>
          </w:p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</w:t>
            </w:r>
            <w:r w:rsidRPr="004A0A24">
              <w:rPr>
                <w:rFonts w:ascii="Arial" w:hAnsi="Arial" w:cs="Arial"/>
                <w:b/>
                <w:color w:val="0F243E" w:themeColor="text2" w:themeShade="80"/>
              </w:rPr>
              <w:t>ompetencias de énfasis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>:</w:t>
            </w:r>
            <w:r w:rsidR="00551EAB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="00551EAB" w:rsidRPr="00551EAB">
              <w:rPr>
                <w:rFonts w:ascii="Arial" w:hAnsi="Arial" w:cs="Arial"/>
                <w:color w:val="0F243E" w:themeColor="text2" w:themeShade="80"/>
              </w:rPr>
              <w:t>Reconocer cada uno de los elementos de mayor ocurrencia en la región</w:t>
            </w:r>
            <w:r w:rsidRPr="00551EAB">
              <w:rPr>
                <w:rFonts w:ascii="Arial" w:hAnsi="Arial" w:cs="Arial"/>
                <w:color w:val="0F243E" w:themeColor="text2" w:themeShade="80"/>
              </w:rPr>
              <w:t>.</w:t>
            </w:r>
          </w:p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551EAB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Derecho Penal General, Derecho Procesal Penal y Teoría del delito.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Tr="005307D9">
        <w:trPr>
          <w:trHeight w:val="417"/>
        </w:trPr>
        <w:tc>
          <w:tcPr>
            <w:tcW w:w="9740" w:type="dxa"/>
          </w:tcPr>
          <w:p w:rsidR="009D3B04" w:rsidRDefault="009D3B04" w:rsidP="005307D9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551EAB" w:rsidRPr="00EF3A82" w:rsidRDefault="00551EAB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 xml:space="preserve">1. Delitos contra la vida y la integridad personal. </w:t>
            </w:r>
          </w:p>
          <w:p w:rsidR="00551EAB" w:rsidRPr="00EF3A82" w:rsidRDefault="00551EAB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 xml:space="preserve">2. Delitos contra personas y bienes protegidos por el Derecho Internacional Humanitario. </w:t>
            </w:r>
          </w:p>
          <w:p w:rsidR="00551EAB" w:rsidRPr="00EF3A82" w:rsidRDefault="00551EAB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 xml:space="preserve">3. Delitos contra la libertad individual y otras garantías. </w:t>
            </w:r>
          </w:p>
          <w:p w:rsidR="00551EAB" w:rsidRPr="00EF3A82" w:rsidRDefault="00551EAB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 xml:space="preserve">4. Delitos contra la libertad, integridad y formación sexuales. </w:t>
            </w:r>
          </w:p>
          <w:p w:rsidR="00551EAB" w:rsidRPr="00EF3A82" w:rsidRDefault="00551EAB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 xml:space="preserve">5. Delitos contra el patrimonio económico. </w:t>
            </w:r>
          </w:p>
          <w:p w:rsidR="00551EAB" w:rsidRPr="00EF3A82" w:rsidRDefault="00551EAB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 xml:space="preserve">6. Delitos contra la administración pública. </w:t>
            </w:r>
          </w:p>
          <w:p w:rsidR="00551EAB" w:rsidRPr="00EF3A82" w:rsidRDefault="00551EAB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 xml:space="preserve">7. Delitos contra la fe pública. </w:t>
            </w:r>
          </w:p>
          <w:p w:rsidR="00551EAB" w:rsidRPr="00EF3A82" w:rsidRDefault="00551EAB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 xml:space="preserve">8. Delitos contra el orden económico social. </w:t>
            </w:r>
          </w:p>
          <w:p w:rsidR="00551EAB" w:rsidRDefault="00551EAB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>9. Delitos contra el régimen constitucional y legal.</w:t>
            </w:r>
          </w:p>
          <w:p w:rsidR="00551EAB" w:rsidRDefault="00551EAB" w:rsidP="005307D9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Tr="00E525ED">
        <w:tc>
          <w:tcPr>
            <w:tcW w:w="9740" w:type="dxa"/>
            <w:shd w:val="clear" w:color="auto" w:fill="365F91" w:themeFill="accent1" w:themeFillShade="BF"/>
          </w:tcPr>
          <w:p w:rsidR="005307D9" w:rsidRPr="00030862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:rsidTr="00E525ED">
        <w:tc>
          <w:tcPr>
            <w:tcW w:w="9740" w:type="dxa"/>
          </w:tcPr>
          <w:p w:rsidR="005307D9" w:rsidRDefault="005307D9" w:rsidP="00E525ED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551EAB" w:rsidRDefault="00551EAB" w:rsidP="00E525ED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La Teoría es la del delito,</w:t>
            </w:r>
            <w:r w:rsidR="00EF3A82">
              <w:rPr>
                <w:rFonts w:ascii="Arial" w:hAnsi="Arial" w:cs="Arial"/>
                <w:color w:val="0F243E" w:themeColor="text2" w:themeShade="80"/>
              </w:rPr>
              <w:t xml:space="preserve"> y las escuelas de pensamiento que estudian la conducta relevante penalmente en las diversas escuelas de pensamiento. </w:t>
            </w:r>
          </w:p>
          <w:p w:rsidR="005307D9" w:rsidRDefault="005307D9" w:rsidP="00E525ED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EF3A82" w:rsidRDefault="00EF3A82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La metodología es la Aprendizaje Basado en Problemas, y la clase formal, acompañada del constructivismo pedagógico junto a la capacidad de análisis del discente.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EF3A82" w:rsidRDefault="00EF3A82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La forma de evaluación es mediante </w:t>
            </w:r>
            <w:proofErr w:type="spellStart"/>
            <w:r>
              <w:rPr>
                <w:rFonts w:ascii="Arial" w:hAnsi="Arial" w:cs="Arial"/>
                <w:color w:val="0F243E" w:themeColor="text2" w:themeShade="80"/>
              </w:rPr>
              <w:t>heteroevaluación</w:t>
            </w:r>
            <w:proofErr w:type="spellEnd"/>
            <w:r>
              <w:rPr>
                <w:rFonts w:ascii="Arial" w:hAnsi="Arial" w:cs="Arial"/>
                <w:color w:val="0F243E" w:themeColor="text2" w:themeShade="80"/>
              </w:rPr>
              <w:t xml:space="preserve">, es decir escrita, oral, talleres, exámenes de única respuesta, pregunta abierta, ejercicios de comprensión de la temática, audiencias y otras que sean verificables académicamente.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CC21F3">
        <w:tc>
          <w:tcPr>
            <w:tcW w:w="9740" w:type="dxa"/>
          </w:tcPr>
          <w:p w:rsidR="009D3B04" w:rsidRPr="007F40E6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EF3A82" w:rsidRDefault="00EF3A82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EF3A82" w:rsidRPr="00EF3A82" w:rsidRDefault="00EF3A82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>Código Penal</w:t>
            </w:r>
          </w:p>
          <w:p w:rsidR="00EF3A82" w:rsidRDefault="00EF3A82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>Sentencia de la Sala Penal de la Corte Suprema de Justicia</w:t>
            </w:r>
          </w:p>
          <w:p w:rsidR="00EF3A82" w:rsidRDefault="00EF3A82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Derecho Penal Especial</w:t>
            </w:r>
          </w:p>
          <w:p w:rsidR="00EF3A82" w:rsidRDefault="00EF3A82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EF3A82" w:rsidRPr="00EF3A82" w:rsidRDefault="00EF3A82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EF3A82" w:rsidRDefault="00EF3A82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EF3A82" w:rsidRPr="007F40E6" w:rsidRDefault="00EF3A82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lastRenderedPageBreak/>
              <w:t xml:space="preserve">MEDIOS Y RECURSOS 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9D3B04" w:rsidRDefault="00373F2F" w:rsidP="009D3B04"/>
    <w:sectPr w:rsidR="00373F2F" w:rsidRPr="009D3B04" w:rsidSect="00F6013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853" w:rsidRDefault="00FB4853">
      <w:r>
        <w:separator/>
      </w:r>
    </w:p>
  </w:endnote>
  <w:endnote w:type="continuationSeparator" w:id="0">
    <w:p w:rsidR="00FB4853" w:rsidRDefault="00FB4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Av. Universitaria Cll. 48 No. 1-235 este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Santoto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FB4853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FB4853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" filled="f" stroked="f">
              <v:textbox style="mso-fit-shape-to-text:t">
                <w:txbxContent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Av. Universitaria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. 48 No. 1-235 este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proofErr w:type="spellStart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Santoto</w:t>
                    </w:r>
                    <w:proofErr w:type="spellEnd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Local 1-106. Centro Comercial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853" w:rsidRDefault="00FB4853">
      <w:r>
        <w:separator/>
      </w:r>
    </w:p>
  </w:footnote>
  <w:footnote w:type="continuationSeparator" w:id="0">
    <w:p w:rsidR="00FB4853" w:rsidRDefault="00FB4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FB4853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1312" behindDoc="1" locked="0" layoutInCell="1" allowOverlap="1" wp14:anchorId="38055A05" wp14:editId="405B3C98">
          <wp:simplePos x="0" y="0"/>
          <wp:positionH relativeFrom="column">
            <wp:posOffset>-1086486</wp:posOffset>
          </wp:positionH>
          <wp:positionV relativeFrom="paragraph">
            <wp:posOffset>-467826</wp:posOffset>
          </wp:positionV>
          <wp:extent cx="7784537" cy="10073744"/>
          <wp:effectExtent l="0" t="0" r="0" b="1016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s_v4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4817" cy="100741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FB4853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1"/>
  </w:num>
  <w:num w:numId="3">
    <w:abstractNumId w:val="28"/>
  </w:num>
  <w:num w:numId="4">
    <w:abstractNumId w:val="39"/>
  </w:num>
  <w:num w:numId="5">
    <w:abstractNumId w:val="32"/>
  </w:num>
  <w:num w:numId="6">
    <w:abstractNumId w:val="21"/>
  </w:num>
  <w:num w:numId="7">
    <w:abstractNumId w:val="36"/>
  </w:num>
  <w:num w:numId="8">
    <w:abstractNumId w:val="26"/>
  </w:num>
  <w:num w:numId="9">
    <w:abstractNumId w:val="4"/>
  </w:num>
  <w:num w:numId="10">
    <w:abstractNumId w:val="25"/>
  </w:num>
  <w:num w:numId="11">
    <w:abstractNumId w:val="11"/>
  </w:num>
  <w:num w:numId="12">
    <w:abstractNumId w:val="7"/>
  </w:num>
  <w:num w:numId="13">
    <w:abstractNumId w:val="37"/>
  </w:num>
  <w:num w:numId="14">
    <w:abstractNumId w:val="27"/>
  </w:num>
  <w:num w:numId="15">
    <w:abstractNumId w:val="5"/>
  </w:num>
  <w:num w:numId="16">
    <w:abstractNumId w:val="23"/>
  </w:num>
  <w:num w:numId="17">
    <w:abstractNumId w:val="20"/>
  </w:num>
  <w:num w:numId="18">
    <w:abstractNumId w:val="38"/>
  </w:num>
  <w:num w:numId="19">
    <w:abstractNumId w:val="34"/>
  </w:num>
  <w:num w:numId="20">
    <w:abstractNumId w:val="19"/>
  </w:num>
  <w:num w:numId="21">
    <w:abstractNumId w:val="33"/>
  </w:num>
  <w:num w:numId="22">
    <w:abstractNumId w:val="6"/>
  </w:num>
  <w:num w:numId="23">
    <w:abstractNumId w:val="18"/>
  </w:num>
  <w:num w:numId="24">
    <w:abstractNumId w:val="22"/>
  </w:num>
  <w:num w:numId="25">
    <w:abstractNumId w:val="17"/>
  </w:num>
  <w:num w:numId="26">
    <w:abstractNumId w:val="24"/>
  </w:num>
  <w:num w:numId="27">
    <w:abstractNumId w:val="1"/>
  </w:num>
  <w:num w:numId="28">
    <w:abstractNumId w:val="2"/>
  </w:num>
  <w:num w:numId="29">
    <w:abstractNumId w:val="9"/>
  </w:num>
  <w:num w:numId="30">
    <w:abstractNumId w:val="3"/>
  </w:num>
  <w:num w:numId="31">
    <w:abstractNumId w:val="30"/>
  </w:num>
  <w:num w:numId="32">
    <w:abstractNumId w:val="29"/>
  </w:num>
  <w:num w:numId="33">
    <w:abstractNumId w:val="12"/>
  </w:num>
  <w:num w:numId="34">
    <w:abstractNumId w:val="13"/>
  </w:num>
  <w:num w:numId="35">
    <w:abstractNumId w:val="0"/>
  </w:num>
  <w:num w:numId="36">
    <w:abstractNumId w:val="35"/>
  </w:num>
  <w:num w:numId="37">
    <w:abstractNumId w:val="14"/>
  </w:num>
  <w:num w:numId="38">
    <w:abstractNumId w:val="8"/>
  </w:num>
  <w:num w:numId="39">
    <w:abstractNumId w:val="10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102DBF"/>
    <w:rsid w:val="001045BF"/>
    <w:rsid w:val="002B389A"/>
    <w:rsid w:val="002F5852"/>
    <w:rsid w:val="00373F2F"/>
    <w:rsid w:val="003F28BD"/>
    <w:rsid w:val="004518AB"/>
    <w:rsid w:val="005307D9"/>
    <w:rsid w:val="00551EAB"/>
    <w:rsid w:val="00710042"/>
    <w:rsid w:val="007B7482"/>
    <w:rsid w:val="00971F60"/>
    <w:rsid w:val="009D3B04"/>
    <w:rsid w:val="00B3659A"/>
    <w:rsid w:val="00BF272F"/>
    <w:rsid w:val="00CC116E"/>
    <w:rsid w:val="00E81DB0"/>
    <w:rsid w:val="00E978F2"/>
    <w:rsid w:val="00EF3A82"/>
    <w:rsid w:val="00F26635"/>
    <w:rsid w:val="00FA1F96"/>
    <w:rsid w:val="00FB4853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FF113-32F1-4972-91B5-56621F08E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529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mariacastro</cp:lastModifiedBy>
  <cp:revision>2</cp:revision>
  <cp:lastPrinted>2015-11-23T22:21:00Z</cp:lastPrinted>
  <dcterms:created xsi:type="dcterms:W3CDTF">2015-11-23T22:21:00Z</dcterms:created>
  <dcterms:modified xsi:type="dcterms:W3CDTF">2015-11-23T22:21:00Z</dcterms:modified>
</cp:coreProperties>
</file>